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7" w:rsidRPr="00107BA1" w:rsidRDefault="002A04B7" w:rsidP="00107BA1">
      <w:pPr>
        <w:pStyle w:val="Cabealho"/>
        <w:tabs>
          <w:tab w:val="clear" w:pos="4419"/>
          <w:tab w:val="clear" w:pos="8838"/>
        </w:tabs>
        <w:spacing w:before="120" w:after="120" w:line="276" w:lineRule="auto"/>
        <w:jc w:val="center"/>
        <w:rPr>
          <w:b/>
          <w:szCs w:val="24"/>
        </w:rPr>
      </w:pPr>
      <w:bookmarkStart w:id="0" w:name="_GoBack"/>
      <w:bookmarkEnd w:id="0"/>
      <w:r w:rsidRPr="00107BA1">
        <w:rPr>
          <w:b/>
          <w:szCs w:val="24"/>
        </w:rPr>
        <w:t xml:space="preserve">PORTARIA Nº </w:t>
      </w:r>
      <w:r w:rsidR="00F92BFC" w:rsidRPr="00107BA1">
        <w:rPr>
          <w:b/>
          <w:szCs w:val="24"/>
        </w:rPr>
        <w:t xml:space="preserve">  </w:t>
      </w:r>
      <w:r w:rsidR="00940A4D" w:rsidRPr="00107BA1">
        <w:rPr>
          <w:b/>
          <w:szCs w:val="24"/>
        </w:rPr>
        <w:t xml:space="preserve"> </w:t>
      </w:r>
      <w:proofErr w:type="gramStart"/>
      <w:r w:rsidR="00B360A6">
        <w:rPr>
          <w:b/>
          <w:szCs w:val="24"/>
        </w:rPr>
        <w:t xml:space="preserve"> </w:t>
      </w:r>
      <w:r w:rsidR="00F92BFC" w:rsidRPr="00107BA1">
        <w:rPr>
          <w:b/>
          <w:szCs w:val="24"/>
        </w:rPr>
        <w:t xml:space="preserve"> </w:t>
      </w:r>
      <w:r w:rsidR="00EA195C" w:rsidRPr="00107BA1">
        <w:rPr>
          <w:b/>
          <w:szCs w:val="24"/>
        </w:rPr>
        <w:t>,</w:t>
      </w:r>
      <w:proofErr w:type="gramEnd"/>
      <w:r w:rsidR="00EA195C" w:rsidRPr="00107BA1">
        <w:rPr>
          <w:b/>
          <w:szCs w:val="24"/>
        </w:rPr>
        <w:t xml:space="preserve"> DE </w:t>
      </w:r>
      <w:r w:rsidR="00DD0CEB">
        <w:rPr>
          <w:b/>
          <w:szCs w:val="24"/>
        </w:rPr>
        <w:t>17</w:t>
      </w:r>
      <w:r w:rsidR="00F92BFC" w:rsidRPr="00107BA1">
        <w:rPr>
          <w:b/>
          <w:szCs w:val="24"/>
        </w:rPr>
        <w:t xml:space="preserve"> </w:t>
      </w:r>
      <w:r w:rsidRPr="00107BA1">
        <w:rPr>
          <w:b/>
          <w:szCs w:val="24"/>
        </w:rPr>
        <w:t xml:space="preserve">DE </w:t>
      </w:r>
      <w:r w:rsidR="0011462C" w:rsidRPr="00107BA1">
        <w:rPr>
          <w:b/>
          <w:szCs w:val="24"/>
        </w:rPr>
        <w:t>MARÇO</w:t>
      </w:r>
      <w:r w:rsidR="00F92BFC" w:rsidRPr="00107BA1">
        <w:rPr>
          <w:b/>
          <w:szCs w:val="24"/>
        </w:rPr>
        <w:t xml:space="preserve"> DE 2020</w:t>
      </w:r>
    </w:p>
    <w:p w:rsidR="00490C68" w:rsidRPr="00107BA1" w:rsidRDefault="00311179" w:rsidP="00107BA1">
      <w:pPr>
        <w:pStyle w:val="Cabealho"/>
        <w:tabs>
          <w:tab w:val="clear" w:pos="4419"/>
          <w:tab w:val="clear" w:pos="8838"/>
        </w:tabs>
        <w:spacing w:before="120" w:after="120" w:line="276" w:lineRule="auto"/>
        <w:ind w:left="4962"/>
        <w:rPr>
          <w:szCs w:val="24"/>
        </w:rPr>
      </w:pPr>
      <w:r w:rsidRPr="00107BA1">
        <w:rPr>
          <w:szCs w:val="24"/>
        </w:rPr>
        <w:t xml:space="preserve">Dispõe sobre medidas </w:t>
      </w:r>
      <w:r w:rsidR="00DD0CEB">
        <w:rPr>
          <w:szCs w:val="24"/>
        </w:rPr>
        <w:t xml:space="preserve">administrativas </w:t>
      </w:r>
      <w:r w:rsidRPr="00107BA1">
        <w:rPr>
          <w:szCs w:val="24"/>
        </w:rPr>
        <w:t xml:space="preserve">com vistas à </w:t>
      </w:r>
      <w:r w:rsidR="00DD0CEB">
        <w:rPr>
          <w:szCs w:val="24"/>
        </w:rPr>
        <w:t xml:space="preserve">prevenção do </w:t>
      </w:r>
      <w:r w:rsidRPr="00107BA1">
        <w:rPr>
          <w:szCs w:val="24"/>
        </w:rPr>
        <w:t xml:space="preserve">risco de </w:t>
      </w:r>
      <w:r w:rsidR="00DD0CEB">
        <w:rPr>
          <w:szCs w:val="24"/>
        </w:rPr>
        <w:t xml:space="preserve">contágio e </w:t>
      </w:r>
      <w:r w:rsidRPr="00107BA1">
        <w:rPr>
          <w:szCs w:val="24"/>
        </w:rPr>
        <w:t xml:space="preserve">disseminação </w:t>
      </w:r>
      <w:r w:rsidR="00DD0CEB">
        <w:rPr>
          <w:szCs w:val="24"/>
        </w:rPr>
        <w:t>do coronavírus (</w:t>
      </w:r>
      <w:r w:rsidRPr="00107BA1">
        <w:rPr>
          <w:szCs w:val="24"/>
        </w:rPr>
        <w:t>COVID-19</w:t>
      </w:r>
      <w:r w:rsidR="00DD0CEB">
        <w:rPr>
          <w:szCs w:val="24"/>
        </w:rPr>
        <w:t>) no âmbito do Tribunal de Contas do Distrito Federal</w:t>
      </w:r>
      <w:r w:rsidRPr="00107BA1">
        <w:rPr>
          <w:szCs w:val="24"/>
        </w:rPr>
        <w:t>.</w:t>
      </w:r>
    </w:p>
    <w:p w:rsidR="00183C79" w:rsidRPr="00107BA1" w:rsidRDefault="001940C0" w:rsidP="00107BA1">
      <w:pPr>
        <w:pStyle w:val="Cabealho"/>
        <w:tabs>
          <w:tab w:val="clear" w:pos="4419"/>
          <w:tab w:val="clear" w:pos="8838"/>
        </w:tabs>
        <w:spacing w:before="120" w:after="120" w:line="276" w:lineRule="auto"/>
        <w:ind w:firstLine="1701"/>
        <w:rPr>
          <w:szCs w:val="24"/>
        </w:rPr>
      </w:pPr>
      <w:r w:rsidRPr="00107BA1">
        <w:rPr>
          <w:szCs w:val="24"/>
        </w:rPr>
        <w:t>A</w:t>
      </w:r>
      <w:r w:rsidR="002A04B7" w:rsidRPr="00107BA1">
        <w:rPr>
          <w:szCs w:val="24"/>
        </w:rPr>
        <w:t xml:space="preserve"> PRESIDENTE DO TRIBUNAL DE CONTAS DO DISTRITO FEDERAL, no uso </w:t>
      </w:r>
      <w:r w:rsidR="00CE6D5E" w:rsidRPr="00107BA1">
        <w:rPr>
          <w:szCs w:val="24"/>
        </w:rPr>
        <w:t>de suas atribuições</w:t>
      </w:r>
      <w:r w:rsidR="002A04B7" w:rsidRPr="00107BA1">
        <w:rPr>
          <w:szCs w:val="24"/>
        </w:rPr>
        <w:t xml:space="preserve"> </w:t>
      </w:r>
      <w:r w:rsidR="00CE6D5E" w:rsidRPr="00107BA1">
        <w:rPr>
          <w:szCs w:val="24"/>
        </w:rPr>
        <w:t>legais e regimentais</w:t>
      </w:r>
      <w:r w:rsidR="002A04B7" w:rsidRPr="00107BA1">
        <w:rPr>
          <w:szCs w:val="24"/>
        </w:rPr>
        <w:t xml:space="preserve">, </w:t>
      </w:r>
      <w:r w:rsidR="00EA195C" w:rsidRPr="00107BA1">
        <w:rPr>
          <w:szCs w:val="24"/>
        </w:rPr>
        <w:t xml:space="preserve">e </w:t>
      </w:r>
    </w:p>
    <w:p w:rsidR="00183C79" w:rsidRPr="00107BA1" w:rsidRDefault="00183C79" w:rsidP="00107BA1">
      <w:pPr>
        <w:pStyle w:val="Cabealho"/>
        <w:spacing w:before="120" w:after="120" w:line="276" w:lineRule="auto"/>
        <w:ind w:firstLine="1701"/>
        <w:rPr>
          <w:szCs w:val="24"/>
        </w:rPr>
      </w:pPr>
      <w:r w:rsidRPr="00107BA1">
        <w:rPr>
          <w:szCs w:val="24"/>
        </w:rPr>
        <w:t>Considerando a Declaração de Emergência em Saúde Pública de Importância Internacional pela Organização Mundial da Saúde, em decorrência do coronavírus (COVID-19);</w:t>
      </w:r>
    </w:p>
    <w:p w:rsidR="002A04B7" w:rsidRPr="00107BA1" w:rsidRDefault="00183C79" w:rsidP="007E1E20">
      <w:pPr>
        <w:pStyle w:val="Cabealho"/>
        <w:spacing w:before="120" w:after="120" w:line="276" w:lineRule="auto"/>
        <w:ind w:firstLine="1701"/>
        <w:rPr>
          <w:szCs w:val="24"/>
        </w:rPr>
      </w:pPr>
      <w:r w:rsidRPr="00107BA1">
        <w:rPr>
          <w:szCs w:val="24"/>
        </w:rPr>
        <w:t xml:space="preserve">Considerando </w:t>
      </w:r>
      <w:r w:rsidR="000D790C">
        <w:rPr>
          <w:szCs w:val="24"/>
        </w:rPr>
        <w:t xml:space="preserve">os esforços </w:t>
      </w:r>
      <w:r w:rsidR="00536DF8">
        <w:rPr>
          <w:szCs w:val="24"/>
        </w:rPr>
        <w:t xml:space="preserve">preventivos </w:t>
      </w:r>
      <w:r w:rsidRPr="00107BA1">
        <w:rPr>
          <w:szCs w:val="24"/>
        </w:rPr>
        <w:t xml:space="preserve">que estão sendo </w:t>
      </w:r>
      <w:r w:rsidR="000D790C">
        <w:rPr>
          <w:szCs w:val="24"/>
        </w:rPr>
        <w:t xml:space="preserve">empreendidos </w:t>
      </w:r>
      <w:r w:rsidR="00DD0CEB">
        <w:rPr>
          <w:szCs w:val="24"/>
        </w:rPr>
        <w:t xml:space="preserve">pelos órgãos governamentais </w:t>
      </w:r>
      <w:r w:rsidR="00536DF8">
        <w:rPr>
          <w:szCs w:val="24"/>
        </w:rPr>
        <w:t>quanto a</w:t>
      </w:r>
      <w:r w:rsidR="00DD0CEB">
        <w:rPr>
          <w:szCs w:val="24"/>
        </w:rPr>
        <w:t>o risco</w:t>
      </w:r>
      <w:r w:rsidR="000D790C" w:rsidRPr="000D790C">
        <w:rPr>
          <w:szCs w:val="24"/>
        </w:rPr>
        <w:t xml:space="preserve"> </w:t>
      </w:r>
      <w:r w:rsidR="00DD0CEB">
        <w:rPr>
          <w:szCs w:val="24"/>
        </w:rPr>
        <w:t>de contágio e</w:t>
      </w:r>
      <w:r w:rsidR="000D790C" w:rsidRPr="000D790C">
        <w:rPr>
          <w:szCs w:val="24"/>
        </w:rPr>
        <w:t xml:space="preserve"> disseminação do coronavírus</w:t>
      </w:r>
      <w:r w:rsidR="007E1E20">
        <w:rPr>
          <w:szCs w:val="24"/>
        </w:rPr>
        <w:t>,</w:t>
      </w:r>
      <w:r w:rsidRPr="00107BA1">
        <w:rPr>
          <w:szCs w:val="24"/>
        </w:rPr>
        <w:t xml:space="preserve"> </w:t>
      </w:r>
      <w:r w:rsidR="002A04B7" w:rsidRPr="00107BA1">
        <w:rPr>
          <w:szCs w:val="24"/>
        </w:rPr>
        <w:t>resolve</w:t>
      </w:r>
      <w:r w:rsidRPr="00107BA1">
        <w:rPr>
          <w:szCs w:val="24"/>
        </w:rPr>
        <w:t>: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>Art. 1º Sem prejuízo da adequada prestação dos serviços e do funcionamento das unidades dos Serviços Auxiliares do Tribunal, autorizar a adoção das seguintes medidas: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>I – suspender a realização de eventos em espaços de uso coletivo, auditórios e salas de aula nas dependências do TCDF;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>II - restringir ao estritamente indispensável a realização de reuniões presenciais de grupos de trabalho, comissões, comitês e assemelhados, devendo ser utilizada preferencialmente a forma de teleconferência ou outro meio eletrônico;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>III - suspender a realização de eventos presenciais de capacitação e treinamento, devendo ser dada preferência a modalidades alternativas caso o evento não possa ser reprogramado para momento posterior;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>IV – priorizar</w:t>
      </w:r>
      <w:r w:rsidR="0033756F">
        <w:rPr>
          <w:sz w:val="24"/>
          <w:szCs w:val="24"/>
        </w:rPr>
        <w:t>,</w:t>
      </w:r>
      <w:r w:rsidRPr="007E1E20">
        <w:rPr>
          <w:sz w:val="24"/>
          <w:szCs w:val="24"/>
        </w:rPr>
        <w:t xml:space="preserve"> na realização de trabalhos externos, </w:t>
      </w:r>
      <w:r w:rsidR="0033756F">
        <w:rPr>
          <w:sz w:val="24"/>
          <w:szCs w:val="24"/>
        </w:rPr>
        <w:t xml:space="preserve">de </w:t>
      </w:r>
      <w:r w:rsidRPr="007E1E20">
        <w:rPr>
          <w:sz w:val="24"/>
          <w:szCs w:val="24"/>
        </w:rPr>
        <w:t>auditorias e inspeções, a utilização de meios eletrônicos, restringindo ao estritamente indispensável a realização de reuniões presenciais;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lastRenderedPageBreak/>
        <w:t>V – vedar a realização de viagens a trabalho e suspender a análise de novas concessões;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 xml:space="preserve">VI - dar prioridade à modalidade </w:t>
      </w:r>
      <w:proofErr w:type="spellStart"/>
      <w:r w:rsidRPr="007E1E20">
        <w:rPr>
          <w:sz w:val="24"/>
          <w:szCs w:val="24"/>
        </w:rPr>
        <w:t>teletrabalho</w:t>
      </w:r>
      <w:proofErr w:type="spellEnd"/>
      <w:r w:rsidRPr="007E1E20">
        <w:rPr>
          <w:sz w:val="24"/>
          <w:szCs w:val="24"/>
        </w:rPr>
        <w:t xml:space="preserve">, flexibilizando-se os requisitos de metas adicionais de desempenho e as restrições de quantidade de </w:t>
      </w:r>
      <w:proofErr w:type="gramStart"/>
      <w:r w:rsidRPr="007E1E20">
        <w:rPr>
          <w:sz w:val="24"/>
          <w:szCs w:val="24"/>
        </w:rPr>
        <w:t>servidores</w:t>
      </w:r>
      <w:proofErr w:type="gramEnd"/>
      <w:r w:rsidRPr="007E1E20">
        <w:rPr>
          <w:sz w:val="24"/>
          <w:szCs w:val="24"/>
        </w:rPr>
        <w:t xml:space="preserve"> referentes a este regime de trabalho;</w:t>
      </w:r>
    </w:p>
    <w:p w:rsidR="007E1E20" w:rsidRP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 xml:space="preserve">VII - no caso das atividades que não possam ser realizadas em regime de </w:t>
      </w:r>
      <w:proofErr w:type="spellStart"/>
      <w:r w:rsidRPr="007E1E20">
        <w:rPr>
          <w:sz w:val="24"/>
          <w:szCs w:val="24"/>
        </w:rPr>
        <w:t>teletrabalho</w:t>
      </w:r>
      <w:proofErr w:type="spellEnd"/>
      <w:r w:rsidRPr="007E1E20">
        <w:rPr>
          <w:sz w:val="24"/>
          <w:szCs w:val="24"/>
        </w:rPr>
        <w:t xml:space="preserve">, sempre que possível, adotar o rodízio </w:t>
      </w:r>
      <w:r w:rsidR="007E3AC5">
        <w:rPr>
          <w:sz w:val="24"/>
          <w:szCs w:val="24"/>
        </w:rPr>
        <w:t xml:space="preserve">semanal </w:t>
      </w:r>
      <w:r w:rsidRPr="007E1E20">
        <w:rPr>
          <w:sz w:val="24"/>
          <w:szCs w:val="24"/>
        </w:rPr>
        <w:t xml:space="preserve">de </w:t>
      </w:r>
      <w:r w:rsidR="003C3B79">
        <w:rPr>
          <w:sz w:val="24"/>
          <w:szCs w:val="24"/>
        </w:rPr>
        <w:t>servidores</w:t>
      </w:r>
      <w:r w:rsidR="009F6D3B">
        <w:rPr>
          <w:sz w:val="24"/>
          <w:szCs w:val="24"/>
        </w:rPr>
        <w:t xml:space="preserve"> </w:t>
      </w:r>
      <w:r w:rsidR="008D1D99">
        <w:rPr>
          <w:sz w:val="24"/>
          <w:szCs w:val="24"/>
        </w:rPr>
        <w:t>condicionado ao</w:t>
      </w:r>
      <w:r w:rsidR="009F6D3B">
        <w:rPr>
          <w:sz w:val="24"/>
          <w:szCs w:val="24"/>
        </w:rPr>
        <w:t xml:space="preserve"> regime de disponibilidade</w:t>
      </w:r>
      <w:r w:rsidRPr="007E1E20">
        <w:rPr>
          <w:sz w:val="24"/>
          <w:szCs w:val="24"/>
        </w:rPr>
        <w:t>;</w:t>
      </w:r>
    </w:p>
    <w:p w:rsidR="007E1E20" w:rsidRDefault="00F164FA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>VIII</w:t>
      </w:r>
      <w:r w:rsidR="007E1E20">
        <w:rPr>
          <w:sz w:val="24"/>
          <w:szCs w:val="24"/>
        </w:rPr>
        <w:t xml:space="preserve"> - </w:t>
      </w:r>
      <w:r w:rsidR="000451C9">
        <w:rPr>
          <w:sz w:val="24"/>
          <w:szCs w:val="24"/>
        </w:rPr>
        <w:t>suspender a realização de</w:t>
      </w:r>
      <w:r w:rsidR="000451C9" w:rsidRPr="00536DF8">
        <w:rPr>
          <w:sz w:val="24"/>
          <w:szCs w:val="24"/>
        </w:rPr>
        <w:t xml:space="preserve"> sessões </w:t>
      </w:r>
      <w:r w:rsidR="000451C9">
        <w:rPr>
          <w:sz w:val="24"/>
          <w:szCs w:val="24"/>
        </w:rPr>
        <w:t>plenárias;</w:t>
      </w:r>
    </w:p>
    <w:p w:rsidR="000451C9" w:rsidRDefault="00F164FA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>I</w:t>
      </w:r>
      <w:r w:rsidR="000451C9">
        <w:rPr>
          <w:sz w:val="24"/>
          <w:szCs w:val="24"/>
        </w:rPr>
        <w:t xml:space="preserve">X - suspender os prazos processuais relativos a processos físicos </w:t>
      </w:r>
      <w:r w:rsidR="00EE1C9E">
        <w:rPr>
          <w:sz w:val="24"/>
          <w:szCs w:val="24"/>
        </w:rPr>
        <w:t xml:space="preserve">e eletrônicos, </w:t>
      </w:r>
      <w:r w:rsidR="000451C9">
        <w:rPr>
          <w:sz w:val="24"/>
          <w:szCs w:val="24"/>
        </w:rPr>
        <w:t>em tramitação no Tribunal</w:t>
      </w:r>
      <w:r w:rsidR="00EE1C9E">
        <w:rPr>
          <w:sz w:val="24"/>
          <w:szCs w:val="24"/>
        </w:rPr>
        <w:t>, até 31 de março de 2020</w:t>
      </w:r>
      <w:r w:rsidR="00BE10A7">
        <w:rPr>
          <w:sz w:val="24"/>
          <w:szCs w:val="24"/>
        </w:rPr>
        <w:t xml:space="preserve">, excetuados os processos </w:t>
      </w:r>
      <w:r w:rsidR="00BE10A7" w:rsidRPr="00040BD8">
        <w:rPr>
          <w:sz w:val="24"/>
          <w:szCs w:val="24"/>
        </w:rPr>
        <w:t>urgentes</w:t>
      </w:r>
      <w:r w:rsidR="000451C9" w:rsidRPr="00977850">
        <w:rPr>
          <w:sz w:val="24"/>
          <w:szCs w:val="24"/>
        </w:rPr>
        <w:t>;</w:t>
      </w:r>
    </w:p>
    <w:p w:rsidR="000451C9" w:rsidRDefault="000451C9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>X – suspender o atendimento presencial ao público externo e a protocolização física de documentos</w:t>
      </w:r>
      <w:r w:rsidR="0046218C">
        <w:rPr>
          <w:sz w:val="24"/>
          <w:szCs w:val="24"/>
        </w:rPr>
        <w:t>,</w:t>
      </w:r>
      <w:r w:rsidR="0046218C" w:rsidRPr="0046218C">
        <w:rPr>
          <w:sz w:val="24"/>
          <w:szCs w:val="24"/>
        </w:rPr>
        <w:t xml:space="preserve"> </w:t>
      </w:r>
      <w:r w:rsidR="0046218C">
        <w:rPr>
          <w:sz w:val="24"/>
          <w:szCs w:val="24"/>
        </w:rPr>
        <w:t xml:space="preserve">excetuando-se </w:t>
      </w:r>
      <w:r w:rsidR="00812C10">
        <w:rPr>
          <w:sz w:val="24"/>
          <w:szCs w:val="24"/>
        </w:rPr>
        <w:t>os casos relacionados a</w:t>
      </w:r>
      <w:r w:rsidR="0046218C">
        <w:rPr>
          <w:sz w:val="24"/>
          <w:szCs w:val="24"/>
        </w:rPr>
        <w:t xml:space="preserve"> processos </w:t>
      </w:r>
      <w:r w:rsidR="0046218C" w:rsidRPr="00040BD8">
        <w:rPr>
          <w:sz w:val="24"/>
          <w:szCs w:val="24"/>
        </w:rPr>
        <w:t>urgentes</w:t>
      </w:r>
      <w:r>
        <w:rPr>
          <w:sz w:val="24"/>
          <w:szCs w:val="24"/>
        </w:rPr>
        <w:t>;</w:t>
      </w:r>
    </w:p>
    <w:p w:rsidR="000451C9" w:rsidRDefault="000451C9" w:rsidP="000451C9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>XI - suspender o</w:t>
      </w:r>
      <w:r w:rsidRPr="00662304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endimento interno presencial </w:t>
      </w:r>
      <w:r w:rsidRPr="00662304">
        <w:rPr>
          <w:sz w:val="24"/>
          <w:szCs w:val="24"/>
        </w:rPr>
        <w:t>a servidores, aposentados</w:t>
      </w:r>
      <w:r>
        <w:rPr>
          <w:sz w:val="24"/>
          <w:szCs w:val="24"/>
        </w:rPr>
        <w:t xml:space="preserve"> </w:t>
      </w:r>
      <w:r w:rsidRPr="00662304">
        <w:rPr>
          <w:sz w:val="24"/>
          <w:szCs w:val="24"/>
        </w:rPr>
        <w:t>e pensionistas</w:t>
      </w:r>
      <w:r>
        <w:rPr>
          <w:sz w:val="24"/>
          <w:szCs w:val="24"/>
        </w:rPr>
        <w:t xml:space="preserve">, referente </w:t>
      </w:r>
      <w:r w:rsidRPr="00662304">
        <w:rPr>
          <w:sz w:val="24"/>
          <w:szCs w:val="24"/>
        </w:rPr>
        <w:t>a questõ</w:t>
      </w:r>
      <w:r>
        <w:rPr>
          <w:sz w:val="24"/>
          <w:szCs w:val="24"/>
        </w:rPr>
        <w:t>es funcionais e administrativas, devendo ser assegurada a prestação de serviços essenciais por meio eletrônico ou por telefone;</w:t>
      </w:r>
    </w:p>
    <w:p w:rsidR="000451C9" w:rsidRPr="000D790C" w:rsidRDefault="000451C9" w:rsidP="000451C9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>XII - suspender temporariamente a entrada de</w:t>
      </w:r>
      <w:r w:rsidR="00E34700">
        <w:rPr>
          <w:sz w:val="24"/>
          <w:szCs w:val="24"/>
        </w:rPr>
        <w:t xml:space="preserve"> público externo nos Edifícios </w:t>
      </w:r>
      <w:r w:rsidR="00E34700" w:rsidRPr="00E34700">
        <w:rPr>
          <w:sz w:val="24"/>
          <w:szCs w:val="24"/>
        </w:rPr>
        <w:t>S</w:t>
      </w:r>
      <w:r>
        <w:rPr>
          <w:sz w:val="24"/>
          <w:szCs w:val="24"/>
        </w:rPr>
        <w:t>ede e Anexo do Tribunal</w:t>
      </w:r>
      <w:r w:rsidR="00E34700">
        <w:rPr>
          <w:sz w:val="24"/>
          <w:szCs w:val="24"/>
        </w:rPr>
        <w:t>, observado o disposto no inciso X deste artigo</w:t>
      </w:r>
      <w:r>
        <w:rPr>
          <w:sz w:val="24"/>
          <w:szCs w:val="24"/>
        </w:rPr>
        <w:t xml:space="preserve">. </w:t>
      </w:r>
    </w:p>
    <w:p w:rsidR="007E1E20" w:rsidRDefault="007E1E20" w:rsidP="007E1E20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7E1E20">
        <w:rPr>
          <w:sz w:val="24"/>
          <w:szCs w:val="24"/>
        </w:rPr>
        <w:t>Art. 2º Os servidores que estiveram em locais com reconhecido surto do COVID-19 deverão comunicar à chefia imediata a localidade em que estiveram em data anterior ao retorno ao trabalho.</w:t>
      </w:r>
    </w:p>
    <w:p w:rsidR="00662304" w:rsidRDefault="00AE2E3D" w:rsidP="00662304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C0628">
        <w:rPr>
          <w:sz w:val="24"/>
          <w:szCs w:val="24"/>
        </w:rPr>
        <w:t>3</w:t>
      </w:r>
      <w:r>
        <w:rPr>
          <w:sz w:val="24"/>
          <w:szCs w:val="24"/>
        </w:rPr>
        <w:t xml:space="preserve">º </w:t>
      </w:r>
      <w:r w:rsidR="0027552D">
        <w:rPr>
          <w:sz w:val="24"/>
          <w:szCs w:val="24"/>
        </w:rPr>
        <w:t>O horário de funcionamento do Tribunal será das</w:t>
      </w:r>
      <w:r w:rsidR="004C23E5">
        <w:rPr>
          <w:sz w:val="24"/>
          <w:szCs w:val="24"/>
        </w:rPr>
        <w:t xml:space="preserve"> 1</w:t>
      </w:r>
      <w:r w:rsidR="00C95858">
        <w:rPr>
          <w:sz w:val="24"/>
          <w:szCs w:val="24"/>
        </w:rPr>
        <w:t>3</w:t>
      </w:r>
      <w:r w:rsidR="004C23E5">
        <w:rPr>
          <w:sz w:val="24"/>
          <w:szCs w:val="24"/>
        </w:rPr>
        <w:t xml:space="preserve"> às 1</w:t>
      </w:r>
      <w:r w:rsidR="00C95858">
        <w:rPr>
          <w:sz w:val="24"/>
          <w:szCs w:val="24"/>
        </w:rPr>
        <w:t>7</w:t>
      </w:r>
      <w:r w:rsidR="004C23E5">
        <w:rPr>
          <w:sz w:val="24"/>
          <w:szCs w:val="24"/>
        </w:rPr>
        <w:t xml:space="preserve">h, </w:t>
      </w:r>
      <w:r w:rsidR="00C87159">
        <w:rPr>
          <w:sz w:val="24"/>
          <w:szCs w:val="24"/>
        </w:rPr>
        <w:t xml:space="preserve">com </w:t>
      </w:r>
      <w:r w:rsidR="002B2F4F" w:rsidRPr="002B2F4F">
        <w:rPr>
          <w:sz w:val="24"/>
          <w:szCs w:val="24"/>
        </w:rPr>
        <w:t xml:space="preserve">o mínimo de servidores </w:t>
      </w:r>
      <w:r w:rsidR="002B2F4F">
        <w:rPr>
          <w:sz w:val="24"/>
          <w:szCs w:val="24"/>
        </w:rPr>
        <w:t xml:space="preserve">indispensável </w:t>
      </w:r>
      <w:r w:rsidR="007176D9">
        <w:rPr>
          <w:sz w:val="24"/>
          <w:szCs w:val="24"/>
        </w:rPr>
        <w:t>à continuidade dos ser</w:t>
      </w:r>
      <w:r w:rsidR="004C23E5">
        <w:rPr>
          <w:sz w:val="24"/>
          <w:szCs w:val="24"/>
        </w:rPr>
        <w:t xml:space="preserve">viços, </w:t>
      </w:r>
      <w:r w:rsidR="008D5E57">
        <w:rPr>
          <w:sz w:val="24"/>
          <w:szCs w:val="24"/>
        </w:rPr>
        <w:t xml:space="preserve">complementada a jornada por meio de </w:t>
      </w:r>
      <w:proofErr w:type="spellStart"/>
      <w:r w:rsidR="004C23E5">
        <w:rPr>
          <w:sz w:val="24"/>
          <w:szCs w:val="24"/>
        </w:rPr>
        <w:t>teletrabalho</w:t>
      </w:r>
      <w:proofErr w:type="spellEnd"/>
      <w:r w:rsidR="004C23E5">
        <w:rPr>
          <w:sz w:val="24"/>
          <w:szCs w:val="24"/>
        </w:rPr>
        <w:t xml:space="preserve">. </w:t>
      </w:r>
    </w:p>
    <w:p w:rsidR="004C23E5" w:rsidRDefault="00675E7A" w:rsidP="004C23E5">
      <w:pPr>
        <w:pStyle w:val="Corpodetexto"/>
        <w:tabs>
          <w:tab w:val="left" w:pos="1701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Art. </w:t>
      </w:r>
      <w:r w:rsidR="005C0628">
        <w:rPr>
          <w:sz w:val="24"/>
          <w:szCs w:val="24"/>
        </w:rPr>
        <w:t>4</w:t>
      </w:r>
      <w:r w:rsidR="004C23E5">
        <w:rPr>
          <w:sz w:val="24"/>
          <w:szCs w:val="24"/>
        </w:rPr>
        <w:t>º A Secretaria</w:t>
      </w:r>
      <w:r w:rsidR="004C23E5" w:rsidRPr="00AE2E3D">
        <w:rPr>
          <w:sz w:val="24"/>
          <w:szCs w:val="24"/>
        </w:rPr>
        <w:t>-</w:t>
      </w:r>
      <w:r w:rsidR="004C23E5">
        <w:rPr>
          <w:sz w:val="24"/>
          <w:szCs w:val="24"/>
        </w:rPr>
        <w:t>G</w:t>
      </w:r>
      <w:r w:rsidR="004C23E5" w:rsidRPr="00AE2E3D">
        <w:rPr>
          <w:sz w:val="24"/>
          <w:szCs w:val="24"/>
        </w:rPr>
        <w:t xml:space="preserve">eral </w:t>
      </w:r>
      <w:r w:rsidR="004C23E5">
        <w:rPr>
          <w:sz w:val="24"/>
          <w:szCs w:val="24"/>
        </w:rPr>
        <w:t xml:space="preserve">de Administração </w:t>
      </w:r>
      <w:r w:rsidR="004C23E5" w:rsidRPr="00AE2E3D">
        <w:rPr>
          <w:sz w:val="24"/>
          <w:szCs w:val="24"/>
        </w:rPr>
        <w:t>adotar</w:t>
      </w:r>
      <w:r w:rsidR="004C23E5">
        <w:rPr>
          <w:sz w:val="24"/>
          <w:szCs w:val="24"/>
        </w:rPr>
        <w:t>á as</w:t>
      </w:r>
      <w:r w:rsidR="004C23E5" w:rsidRPr="00AE2E3D">
        <w:rPr>
          <w:sz w:val="24"/>
          <w:szCs w:val="24"/>
        </w:rPr>
        <w:t xml:space="preserve"> providências administrativas </w:t>
      </w:r>
      <w:r w:rsidR="004C23E5">
        <w:rPr>
          <w:sz w:val="24"/>
          <w:szCs w:val="24"/>
        </w:rPr>
        <w:t xml:space="preserve">complementares </w:t>
      </w:r>
      <w:r w:rsidR="004C23E5" w:rsidRPr="00AE2E3D">
        <w:rPr>
          <w:sz w:val="24"/>
          <w:szCs w:val="24"/>
        </w:rPr>
        <w:t xml:space="preserve">necessárias para evitar a propagação interna do novo </w:t>
      </w:r>
      <w:r w:rsidR="004C23E5" w:rsidRPr="00AE2E3D">
        <w:rPr>
          <w:sz w:val="24"/>
          <w:szCs w:val="24"/>
        </w:rPr>
        <w:lastRenderedPageBreak/>
        <w:t>coronavírus,</w:t>
      </w:r>
      <w:r w:rsidR="004C23E5">
        <w:rPr>
          <w:sz w:val="24"/>
          <w:szCs w:val="24"/>
        </w:rPr>
        <w:t xml:space="preserve"> devendo manter medidas contínuas de higienização e, sempre que possível, condições de arejamento natural dos ambientes.</w:t>
      </w:r>
    </w:p>
    <w:p w:rsidR="00E876D2" w:rsidRDefault="00675E7A" w:rsidP="004C23E5">
      <w:pPr>
        <w:pStyle w:val="Corpodetexto"/>
        <w:tabs>
          <w:tab w:val="left" w:pos="1701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Art. </w:t>
      </w:r>
      <w:r w:rsidR="005C0628">
        <w:rPr>
          <w:sz w:val="24"/>
          <w:szCs w:val="24"/>
        </w:rPr>
        <w:t>5</w:t>
      </w:r>
      <w:r w:rsidR="00E876D2">
        <w:rPr>
          <w:sz w:val="24"/>
          <w:szCs w:val="24"/>
        </w:rPr>
        <w:t xml:space="preserve">º No período </w:t>
      </w:r>
      <w:r w:rsidR="00164764">
        <w:rPr>
          <w:sz w:val="24"/>
          <w:szCs w:val="24"/>
        </w:rPr>
        <w:t xml:space="preserve">abrangido por </w:t>
      </w:r>
      <w:r w:rsidR="00E876D2">
        <w:rPr>
          <w:sz w:val="24"/>
          <w:szCs w:val="24"/>
        </w:rPr>
        <w:t xml:space="preserve">esta portaria, o Tribunal continuará a prestar a jurisdição que lhe é </w:t>
      </w:r>
      <w:r w:rsidR="00164764">
        <w:rPr>
          <w:sz w:val="24"/>
          <w:szCs w:val="24"/>
        </w:rPr>
        <w:t>constitucionalmente atribuída por meio remoto e, quando possível, por meio presencial.</w:t>
      </w:r>
    </w:p>
    <w:p w:rsidR="002F7B14" w:rsidRDefault="007A5DA6" w:rsidP="00107BA1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C0628">
        <w:rPr>
          <w:sz w:val="24"/>
          <w:szCs w:val="24"/>
        </w:rPr>
        <w:t>6</w:t>
      </w:r>
      <w:r w:rsidR="002F7B14" w:rsidRPr="00107BA1">
        <w:rPr>
          <w:sz w:val="24"/>
          <w:szCs w:val="24"/>
        </w:rPr>
        <w:t xml:space="preserve">º Incumbe ao Secretário-Geral de Administração, ao Secretário-Geral de Controle Externo e aos Chefes de Gabinete coordenar e controlar no âmbito das respectivas áreas </w:t>
      </w:r>
      <w:r w:rsidR="002B2F4F">
        <w:rPr>
          <w:sz w:val="24"/>
          <w:szCs w:val="24"/>
        </w:rPr>
        <w:t xml:space="preserve">sobre </w:t>
      </w:r>
      <w:r w:rsidR="002F7B14" w:rsidRPr="00107BA1">
        <w:rPr>
          <w:sz w:val="24"/>
          <w:szCs w:val="24"/>
        </w:rPr>
        <w:t>a a</w:t>
      </w:r>
      <w:r w:rsidR="0049597A">
        <w:rPr>
          <w:sz w:val="24"/>
          <w:szCs w:val="24"/>
        </w:rPr>
        <w:t>plicação do disposto n</w:t>
      </w:r>
      <w:r w:rsidR="002F7B14" w:rsidRPr="00107BA1">
        <w:rPr>
          <w:sz w:val="24"/>
          <w:szCs w:val="24"/>
        </w:rPr>
        <w:t>esta Portaria.</w:t>
      </w:r>
    </w:p>
    <w:p w:rsidR="00C72CCC" w:rsidRPr="00107BA1" w:rsidRDefault="00C72CCC" w:rsidP="00107BA1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C0628">
        <w:rPr>
          <w:sz w:val="24"/>
          <w:szCs w:val="24"/>
        </w:rPr>
        <w:t>7</w:t>
      </w:r>
      <w:r w:rsidR="005254B0">
        <w:rPr>
          <w:sz w:val="24"/>
          <w:szCs w:val="24"/>
        </w:rPr>
        <w:t>º Fica revogada</w:t>
      </w:r>
      <w:r>
        <w:rPr>
          <w:sz w:val="24"/>
          <w:szCs w:val="24"/>
        </w:rPr>
        <w:t xml:space="preserve"> </w:t>
      </w:r>
      <w:r w:rsidR="00F755CB">
        <w:rPr>
          <w:sz w:val="24"/>
          <w:szCs w:val="24"/>
        </w:rPr>
        <w:t xml:space="preserve">a </w:t>
      </w:r>
      <w:r w:rsidR="00E55BB3">
        <w:rPr>
          <w:sz w:val="24"/>
          <w:szCs w:val="24"/>
        </w:rPr>
        <w:t>Portaria nº 92/</w:t>
      </w:r>
      <w:r w:rsidR="001444B5">
        <w:rPr>
          <w:sz w:val="24"/>
          <w:szCs w:val="24"/>
        </w:rPr>
        <w:t>20</w:t>
      </w:r>
      <w:r w:rsidR="00E55BB3">
        <w:rPr>
          <w:sz w:val="24"/>
          <w:szCs w:val="24"/>
        </w:rPr>
        <w:t>20.</w:t>
      </w:r>
    </w:p>
    <w:p w:rsidR="002F7B14" w:rsidRPr="00107BA1" w:rsidRDefault="002F7B14" w:rsidP="00107BA1">
      <w:pPr>
        <w:pStyle w:val="Corpodetexto"/>
        <w:spacing w:before="120" w:after="120" w:line="276" w:lineRule="auto"/>
        <w:ind w:firstLine="1701"/>
        <w:rPr>
          <w:sz w:val="24"/>
          <w:szCs w:val="24"/>
        </w:rPr>
      </w:pPr>
      <w:r w:rsidRPr="00107BA1">
        <w:rPr>
          <w:sz w:val="24"/>
          <w:szCs w:val="24"/>
        </w:rPr>
        <w:t xml:space="preserve">Art. </w:t>
      </w:r>
      <w:r w:rsidR="005C0628">
        <w:rPr>
          <w:sz w:val="24"/>
          <w:szCs w:val="24"/>
        </w:rPr>
        <w:t>8</w:t>
      </w:r>
      <w:r w:rsidRPr="00107BA1">
        <w:rPr>
          <w:sz w:val="24"/>
          <w:szCs w:val="24"/>
        </w:rPr>
        <w:t xml:space="preserve">º Esta portaria entra em vigor </w:t>
      </w:r>
      <w:r w:rsidR="00040BD8">
        <w:rPr>
          <w:sz w:val="24"/>
          <w:szCs w:val="24"/>
        </w:rPr>
        <w:t>n</w:t>
      </w:r>
      <w:r w:rsidRPr="00107BA1">
        <w:rPr>
          <w:sz w:val="24"/>
          <w:szCs w:val="24"/>
        </w:rPr>
        <w:t>a data</w:t>
      </w:r>
      <w:r w:rsidR="00040BD8">
        <w:rPr>
          <w:sz w:val="24"/>
          <w:szCs w:val="24"/>
        </w:rPr>
        <w:t xml:space="preserve"> de sua publicação</w:t>
      </w:r>
      <w:r w:rsidR="004C23E5">
        <w:rPr>
          <w:sz w:val="24"/>
          <w:szCs w:val="24"/>
        </w:rPr>
        <w:t xml:space="preserve">, </w:t>
      </w:r>
      <w:r w:rsidR="0027552D">
        <w:rPr>
          <w:sz w:val="24"/>
          <w:szCs w:val="24"/>
        </w:rPr>
        <w:t>com vigência até o dia 31 de março de 2020</w:t>
      </w:r>
      <w:r w:rsidRPr="00107BA1">
        <w:rPr>
          <w:sz w:val="24"/>
          <w:szCs w:val="24"/>
        </w:rPr>
        <w:t>.</w:t>
      </w:r>
    </w:p>
    <w:p w:rsidR="002A04B7" w:rsidRPr="00107BA1" w:rsidRDefault="000E35E3" w:rsidP="00107BA1">
      <w:pPr>
        <w:pStyle w:val="Cabealho"/>
        <w:tabs>
          <w:tab w:val="clear" w:pos="4419"/>
          <w:tab w:val="clear" w:pos="8838"/>
        </w:tabs>
        <w:spacing w:before="840" w:after="120" w:line="276" w:lineRule="auto"/>
        <w:jc w:val="center"/>
        <w:rPr>
          <w:b/>
          <w:szCs w:val="24"/>
        </w:rPr>
      </w:pPr>
      <w:r w:rsidRPr="00107BA1">
        <w:rPr>
          <w:b/>
          <w:szCs w:val="24"/>
        </w:rPr>
        <w:t>ANILCÉIA MACHADO</w:t>
      </w:r>
    </w:p>
    <w:sectPr w:rsidR="002A04B7" w:rsidRPr="00107BA1" w:rsidSect="00183C79">
      <w:headerReference w:type="default" r:id="rId8"/>
      <w:footnotePr>
        <w:pos w:val="beneathText"/>
      </w:footnotePr>
      <w:type w:val="continuous"/>
      <w:pgSz w:w="11907" w:h="16840" w:code="9"/>
      <w:pgMar w:top="2325" w:right="1275" w:bottom="1361" w:left="1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6D" w:rsidRDefault="000A326D">
      <w:r>
        <w:separator/>
      </w:r>
    </w:p>
  </w:endnote>
  <w:endnote w:type="continuationSeparator" w:id="0">
    <w:p w:rsidR="000A326D" w:rsidRDefault="000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6D" w:rsidRDefault="000A326D">
      <w:r>
        <w:separator/>
      </w:r>
    </w:p>
  </w:footnote>
  <w:footnote w:type="continuationSeparator" w:id="0">
    <w:p w:rsidR="000A326D" w:rsidRDefault="000A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4"/>
      <w:gridCol w:w="7576"/>
    </w:tblGrid>
    <w:tr w:rsidR="00490C68">
      <w:trPr>
        <w:trHeight w:val="1000"/>
      </w:trPr>
      <w:tc>
        <w:tcPr>
          <w:tcW w:w="1204" w:type="dxa"/>
        </w:tcPr>
        <w:p w:rsidR="00490C68" w:rsidRDefault="000F30BE">
          <w:pPr>
            <w:pStyle w:val="Cabealho"/>
            <w:snapToGrid w:val="0"/>
            <w:rPr>
              <w:rFonts w:ascii="Bookman Old Style" w:hAnsi="Bookman Old Style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60730" cy="760730"/>
                <wp:effectExtent l="0" t="0" r="1270" b="1270"/>
                <wp:docPr id="4" name="Imagem 4" descr="LogoTCD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D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490C68" w:rsidRDefault="00490C68">
          <w:pPr>
            <w:pStyle w:val="Cabealho"/>
            <w:snapToGrid w:val="0"/>
            <w:rPr>
              <w:rFonts w:ascii="Bookman Old Style" w:hAnsi="Bookman Old Style"/>
              <w:b/>
            </w:rPr>
          </w:pPr>
        </w:p>
        <w:p w:rsidR="00490C68" w:rsidRDefault="00490C68">
          <w:pPr>
            <w:pStyle w:val="Cabealho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TRIBUNAL DE CONTAS DO DISTRITO FEDERAL</w:t>
          </w:r>
        </w:p>
        <w:p w:rsidR="00490C68" w:rsidRDefault="00490C68">
          <w:pPr>
            <w:pStyle w:val="Cabealho"/>
            <w:rPr>
              <w:rFonts w:ascii="Bookman Old Style" w:hAnsi="Bookman Old Style"/>
              <w:b/>
              <w:i/>
              <w:sz w:val="20"/>
            </w:rPr>
          </w:pPr>
        </w:p>
        <w:p w:rsidR="00490C68" w:rsidRDefault="00490C68">
          <w:pPr>
            <w:pStyle w:val="Cabealho"/>
            <w:rPr>
              <w:i/>
              <w:sz w:val="18"/>
            </w:rPr>
          </w:pPr>
        </w:p>
      </w:tc>
    </w:tr>
  </w:tbl>
  <w:p w:rsidR="00490C68" w:rsidRDefault="00490C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A3F20"/>
    <w:multiLevelType w:val="hybridMultilevel"/>
    <w:tmpl w:val="E2E6436E"/>
    <w:lvl w:ilvl="0" w:tplc="619047B2">
      <w:start w:val="1"/>
      <w:numFmt w:val="upperRoman"/>
      <w:lvlText w:val="%1."/>
      <w:lvlJc w:val="right"/>
      <w:pPr>
        <w:ind w:left="2421" w:hanging="360"/>
      </w:pPr>
    </w:lvl>
    <w:lvl w:ilvl="1" w:tplc="DCF65A80" w:tentative="1">
      <w:start w:val="1"/>
      <w:numFmt w:val="lowerLetter"/>
      <w:lvlText w:val="%2."/>
      <w:lvlJc w:val="left"/>
      <w:pPr>
        <w:ind w:left="3141" w:hanging="360"/>
      </w:pPr>
    </w:lvl>
    <w:lvl w:ilvl="2" w:tplc="693E0BC2" w:tentative="1">
      <w:start w:val="1"/>
      <w:numFmt w:val="lowerRoman"/>
      <w:lvlText w:val="%3."/>
      <w:lvlJc w:val="right"/>
      <w:pPr>
        <w:ind w:left="3861" w:hanging="180"/>
      </w:pPr>
    </w:lvl>
    <w:lvl w:ilvl="3" w:tplc="801AEA86" w:tentative="1">
      <w:start w:val="1"/>
      <w:numFmt w:val="decimal"/>
      <w:lvlText w:val="%4."/>
      <w:lvlJc w:val="left"/>
      <w:pPr>
        <w:ind w:left="4581" w:hanging="360"/>
      </w:pPr>
    </w:lvl>
    <w:lvl w:ilvl="4" w:tplc="9A44B1A4" w:tentative="1">
      <w:start w:val="1"/>
      <w:numFmt w:val="lowerLetter"/>
      <w:lvlText w:val="%5."/>
      <w:lvlJc w:val="left"/>
      <w:pPr>
        <w:ind w:left="5301" w:hanging="360"/>
      </w:pPr>
    </w:lvl>
    <w:lvl w:ilvl="5" w:tplc="98906DAE" w:tentative="1">
      <w:start w:val="1"/>
      <w:numFmt w:val="lowerRoman"/>
      <w:lvlText w:val="%6."/>
      <w:lvlJc w:val="right"/>
      <w:pPr>
        <w:ind w:left="6021" w:hanging="180"/>
      </w:pPr>
    </w:lvl>
    <w:lvl w:ilvl="6" w:tplc="3ABEE43E" w:tentative="1">
      <w:start w:val="1"/>
      <w:numFmt w:val="decimal"/>
      <w:lvlText w:val="%7."/>
      <w:lvlJc w:val="left"/>
      <w:pPr>
        <w:ind w:left="6741" w:hanging="360"/>
      </w:pPr>
    </w:lvl>
    <w:lvl w:ilvl="7" w:tplc="D3BA0212" w:tentative="1">
      <w:start w:val="1"/>
      <w:numFmt w:val="lowerLetter"/>
      <w:lvlText w:val="%8."/>
      <w:lvlJc w:val="left"/>
      <w:pPr>
        <w:ind w:left="7461" w:hanging="360"/>
      </w:pPr>
    </w:lvl>
    <w:lvl w:ilvl="8" w:tplc="EC3E84C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AAA7695"/>
    <w:multiLevelType w:val="hybridMultilevel"/>
    <w:tmpl w:val="E8603FDE"/>
    <w:lvl w:ilvl="0" w:tplc="ED6247C4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BFE676A0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7AC4D18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F0CA2232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4D6690A8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F000E476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4258B83C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43C2EC38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AE7410E8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>
    <w:nsid w:val="37945A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BD4C64"/>
    <w:multiLevelType w:val="hybridMultilevel"/>
    <w:tmpl w:val="C23C2198"/>
    <w:lvl w:ilvl="0" w:tplc="4594A3E8">
      <w:start w:val="1"/>
      <w:numFmt w:val="decimal"/>
      <w:lvlText w:val="%1."/>
      <w:lvlJc w:val="left"/>
      <w:pPr>
        <w:ind w:left="2421" w:hanging="360"/>
      </w:pPr>
    </w:lvl>
    <w:lvl w:ilvl="1" w:tplc="9A0C3AB2" w:tentative="1">
      <w:start w:val="1"/>
      <w:numFmt w:val="lowerLetter"/>
      <w:lvlText w:val="%2."/>
      <w:lvlJc w:val="left"/>
      <w:pPr>
        <w:ind w:left="3141" w:hanging="360"/>
      </w:pPr>
    </w:lvl>
    <w:lvl w:ilvl="2" w:tplc="37C878F4" w:tentative="1">
      <w:start w:val="1"/>
      <w:numFmt w:val="lowerRoman"/>
      <w:lvlText w:val="%3."/>
      <w:lvlJc w:val="right"/>
      <w:pPr>
        <w:ind w:left="3861" w:hanging="180"/>
      </w:pPr>
    </w:lvl>
    <w:lvl w:ilvl="3" w:tplc="AAF4CAA0" w:tentative="1">
      <w:start w:val="1"/>
      <w:numFmt w:val="decimal"/>
      <w:lvlText w:val="%4."/>
      <w:lvlJc w:val="left"/>
      <w:pPr>
        <w:ind w:left="4581" w:hanging="360"/>
      </w:pPr>
    </w:lvl>
    <w:lvl w:ilvl="4" w:tplc="08DC4F9C" w:tentative="1">
      <w:start w:val="1"/>
      <w:numFmt w:val="lowerLetter"/>
      <w:lvlText w:val="%5."/>
      <w:lvlJc w:val="left"/>
      <w:pPr>
        <w:ind w:left="5301" w:hanging="360"/>
      </w:pPr>
    </w:lvl>
    <w:lvl w:ilvl="5" w:tplc="62FA75AC" w:tentative="1">
      <w:start w:val="1"/>
      <w:numFmt w:val="lowerRoman"/>
      <w:lvlText w:val="%6."/>
      <w:lvlJc w:val="right"/>
      <w:pPr>
        <w:ind w:left="6021" w:hanging="180"/>
      </w:pPr>
    </w:lvl>
    <w:lvl w:ilvl="6" w:tplc="A3F6989A" w:tentative="1">
      <w:start w:val="1"/>
      <w:numFmt w:val="decimal"/>
      <w:lvlText w:val="%7."/>
      <w:lvlJc w:val="left"/>
      <w:pPr>
        <w:ind w:left="6741" w:hanging="360"/>
      </w:pPr>
    </w:lvl>
    <w:lvl w:ilvl="7" w:tplc="F65A929E" w:tentative="1">
      <w:start w:val="1"/>
      <w:numFmt w:val="lowerLetter"/>
      <w:lvlText w:val="%8."/>
      <w:lvlJc w:val="left"/>
      <w:pPr>
        <w:ind w:left="7461" w:hanging="360"/>
      </w:pPr>
    </w:lvl>
    <w:lvl w:ilvl="8" w:tplc="513E1DF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D9D6AEC"/>
    <w:multiLevelType w:val="singleLevel"/>
    <w:tmpl w:val="47E4469E"/>
    <w:lvl w:ilvl="0">
      <w:numFmt w:val="bullet"/>
      <w:lvlText w:val="-"/>
      <w:lvlJc w:val="left"/>
      <w:pPr>
        <w:tabs>
          <w:tab w:val="num" w:pos="2121"/>
        </w:tabs>
        <w:ind w:left="2121" w:hanging="420"/>
      </w:pPr>
      <w:rPr>
        <w:rFonts w:ascii="Times New Roman" w:hAnsi="Times New Roman" w:hint="default"/>
      </w:rPr>
    </w:lvl>
  </w:abstractNum>
  <w:abstractNum w:abstractNumId="6">
    <w:nsid w:val="7A8A45FE"/>
    <w:multiLevelType w:val="hybridMultilevel"/>
    <w:tmpl w:val="CAC6AA4A"/>
    <w:lvl w:ilvl="0" w:tplc="8A1E48AC">
      <w:start w:val="1"/>
      <w:numFmt w:val="upperRoman"/>
      <w:lvlText w:val="%1."/>
      <w:lvlJc w:val="right"/>
      <w:pPr>
        <w:ind w:left="2421" w:hanging="360"/>
      </w:pPr>
    </w:lvl>
    <w:lvl w:ilvl="1" w:tplc="80D86F22">
      <w:start w:val="1"/>
      <w:numFmt w:val="lowerLetter"/>
      <w:lvlText w:val="%2."/>
      <w:lvlJc w:val="left"/>
      <w:pPr>
        <w:ind w:left="3141" w:hanging="360"/>
      </w:pPr>
    </w:lvl>
    <w:lvl w:ilvl="2" w:tplc="04F2021E" w:tentative="1">
      <w:start w:val="1"/>
      <w:numFmt w:val="lowerRoman"/>
      <w:lvlText w:val="%3."/>
      <w:lvlJc w:val="right"/>
      <w:pPr>
        <w:ind w:left="3861" w:hanging="180"/>
      </w:pPr>
    </w:lvl>
    <w:lvl w:ilvl="3" w:tplc="8AA208D6" w:tentative="1">
      <w:start w:val="1"/>
      <w:numFmt w:val="decimal"/>
      <w:lvlText w:val="%4."/>
      <w:lvlJc w:val="left"/>
      <w:pPr>
        <w:ind w:left="4581" w:hanging="360"/>
      </w:pPr>
    </w:lvl>
    <w:lvl w:ilvl="4" w:tplc="7AAA51B0" w:tentative="1">
      <w:start w:val="1"/>
      <w:numFmt w:val="lowerLetter"/>
      <w:lvlText w:val="%5."/>
      <w:lvlJc w:val="left"/>
      <w:pPr>
        <w:ind w:left="5301" w:hanging="360"/>
      </w:pPr>
    </w:lvl>
    <w:lvl w:ilvl="5" w:tplc="5FDABECE" w:tentative="1">
      <w:start w:val="1"/>
      <w:numFmt w:val="lowerRoman"/>
      <w:lvlText w:val="%6."/>
      <w:lvlJc w:val="right"/>
      <w:pPr>
        <w:ind w:left="6021" w:hanging="180"/>
      </w:pPr>
    </w:lvl>
    <w:lvl w:ilvl="6" w:tplc="54A8499C" w:tentative="1">
      <w:start w:val="1"/>
      <w:numFmt w:val="decimal"/>
      <w:lvlText w:val="%7."/>
      <w:lvlJc w:val="left"/>
      <w:pPr>
        <w:ind w:left="6741" w:hanging="360"/>
      </w:pPr>
    </w:lvl>
    <w:lvl w:ilvl="7" w:tplc="41AE3046" w:tentative="1">
      <w:start w:val="1"/>
      <w:numFmt w:val="lowerLetter"/>
      <w:lvlText w:val="%8."/>
      <w:lvlJc w:val="left"/>
      <w:pPr>
        <w:ind w:left="7461" w:hanging="360"/>
      </w:pPr>
    </w:lvl>
    <w:lvl w:ilvl="8" w:tplc="6A165C8C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8"/>
    <w:rsid w:val="0001091E"/>
    <w:rsid w:val="00014631"/>
    <w:rsid w:val="00022CD9"/>
    <w:rsid w:val="00032659"/>
    <w:rsid w:val="00040BD8"/>
    <w:rsid w:val="000451C9"/>
    <w:rsid w:val="00074228"/>
    <w:rsid w:val="00077073"/>
    <w:rsid w:val="000A326D"/>
    <w:rsid w:val="000A33C2"/>
    <w:rsid w:val="000D5374"/>
    <w:rsid w:val="000D790C"/>
    <w:rsid w:val="000E35E3"/>
    <w:rsid w:val="000F30BE"/>
    <w:rsid w:val="00100F72"/>
    <w:rsid w:val="0010693A"/>
    <w:rsid w:val="00107BA1"/>
    <w:rsid w:val="0011462C"/>
    <w:rsid w:val="00130DDC"/>
    <w:rsid w:val="00133E26"/>
    <w:rsid w:val="001444B5"/>
    <w:rsid w:val="0016051E"/>
    <w:rsid w:val="00164764"/>
    <w:rsid w:val="00173365"/>
    <w:rsid w:val="00173776"/>
    <w:rsid w:val="00176A69"/>
    <w:rsid w:val="00183C79"/>
    <w:rsid w:val="00193160"/>
    <w:rsid w:val="001940C0"/>
    <w:rsid w:val="001A1B24"/>
    <w:rsid w:val="001D2F28"/>
    <w:rsid w:val="002318CF"/>
    <w:rsid w:val="0024611C"/>
    <w:rsid w:val="00251DB4"/>
    <w:rsid w:val="0027552D"/>
    <w:rsid w:val="002A04B7"/>
    <w:rsid w:val="002A3475"/>
    <w:rsid w:val="002B0F4B"/>
    <w:rsid w:val="002B2F4F"/>
    <w:rsid w:val="002D3B33"/>
    <w:rsid w:val="002E27B2"/>
    <w:rsid w:val="002F1AA6"/>
    <w:rsid w:val="002F7B14"/>
    <w:rsid w:val="00305ABA"/>
    <w:rsid w:val="00307D3E"/>
    <w:rsid w:val="00311179"/>
    <w:rsid w:val="00311186"/>
    <w:rsid w:val="00325319"/>
    <w:rsid w:val="0033756F"/>
    <w:rsid w:val="00364049"/>
    <w:rsid w:val="003642B4"/>
    <w:rsid w:val="003765AD"/>
    <w:rsid w:val="003B27CD"/>
    <w:rsid w:val="003C1F5D"/>
    <w:rsid w:val="003C3B79"/>
    <w:rsid w:val="003F12B2"/>
    <w:rsid w:val="0041683F"/>
    <w:rsid w:val="00421DFD"/>
    <w:rsid w:val="00432258"/>
    <w:rsid w:val="00434437"/>
    <w:rsid w:val="0046218C"/>
    <w:rsid w:val="00465005"/>
    <w:rsid w:val="004707D9"/>
    <w:rsid w:val="00490C68"/>
    <w:rsid w:val="00493835"/>
    <w:rsid w:val="0049565E"/>
    <w:rsid w:val="0049597A"/>
    <w:rsid w:val="004C23E5"/>
    <w:rsid w:val="004D5A7E"/>
    <w:rsid w:val="004D5B58"/>
    <w:rsid w:val="0052091C"/>
    <w:rsid w:val="005254B0"/>
    <w:rsid w:val="00525BDE"/>
    <w:rsid w:val="00536DF8"/>
    <w:rsid w:val="00536EE5"/>
    <w:rsid w:val="0054563C"/>
    <w:rsid w:val="00555475"/>
    <w:rsid w:val="005654A5"/>
    <w:rsid w:val="00571687"/>
    <w:rsid w:val="005837C9"/>
    <w:rsid w:val="00595112"/>
    <w:rsid w:val="005A7741"/>
    <w:rsid w:val="005B72BA"/>
    <w:rsid w:val="005C0628"/>
    <w:rsid w:val="005C2B8C"/>
    <w:rsid w:val="005C64EA"/>
    <w:rsid w:val="005E1DE7"/>
    <w:rsid w:val="005E2C2B"/>
    <w:rsid w:val="005E34A9"/>
    <w:rsid w:val="005E3A28"/>
    <w:rsid w:val="00604582"/>
    <w:rsid w:val="0062082B"/>
    <w:rsid w:val="00656C06"/>
    <w:rsid w:val="006604C7"/>
    <w:rsid w:val="00662304"/>
    <w:rsid w:val="00675E7A"/>
    <w:rsid w:val="006908BD"/>
    <w:rsid w:val="006A1623"/>
    <w:rsid w:val="006A4AC7"/>
    <w:rsid w:val="006B016A"/>
    <w:rsid w:val="006B031A"/>
    <w:rsid w:val="006C70D6"/>
    <w:rsid w:val="006F6CA8"/>
    <w:rsid w:val="00700E55"/>
    <w:rsid w:val="007176D9"/>
    <w:rsid w:val="00741A5F"/>
    <w:rsid w:val="007460EA"/>
    <w:rsid w:val="00746DD4"/>
    <w:rsid w:val="00747F6D"/>
    <w:rsid w:val="00753392"/>
    <w:rsid w:val="007566A5"/>
    <w:rsid w:val="00761B72"/>
    <w:rsid w:val="007624BA"/>
    <w:rsid w:val="0076540C"/>
    <w:rsid w:val="00783A13"/>
    <w:rsid w:val="00784C67"/>
    <w:rsid w:val="00785788"/>
    <w:rsid w:val="00786F44"/>
    <w:rsid w:val="00795232"/>
    <w:rsid w:val="0079752A"/>
    <w:rsid w:val="007A5DA6"/>
    <w:rsid w:val="007E1E20"/>
    <w:rsid w:val="007E3AC5"/>
    <w:rsid w:val="00812C10"/>
    <w:rsid w:val="00824AAD"/>
    <w:rsid w:val="00841EDA"/>
    <w:rsid w:val="00843DC5"/>
    <w:rsid w:val="00861AF4"/>
    <w:rsid w:val="0086267B"/>
    <w:rsid w:val="00887978"/>
    <w:rsid w:val="008B437C"/>
    <w:rsid w:val="008D1D99"/>
    <w:rsid w:val="008D2959"/>
    <w:rsid w:val="008D5E57"/>
    <w:rsid w:val="008E3191"/>
    <w:rsid w:val="00907B89"/>
    <w:rsid w:val="009203DC"/>
    <w:rsid w:val="00940A4D"/>
    <w:rsid w:val="00977850"/>
    <w:rsid w:val="00980D61"/>
    <w:rsid w:val="00984060"/>
    <w:rsid w:val="009875EC"/>
    <w:rsid w:val="009E633F"/>
    <w:rsid w:val="009F6D3B"/>
    <w:rsid w:val="00A11537"/>
    <w:rsid w:val="00A34C68"/>
    <w:rsid w:val="00A45742"/>
    <w:rsid w:val="00A47DA7"/>
    <w:rsid w:val="00A546AE"/>
    <w:rsid w:val="00A67081"/>
    <w:rsid w:val="00A81977"/>
    <w:rsid w:val="00A84DC5"/>
    <w:rsid w:val="00A935D3"/>
    <w:rsid w:val="00AA1E9E"/>
    <w:rsid w:val="00AD0168"/>
    <w:rsid w:val="00AE25A6"/>
    <w:rsid w:val="00AE2E3D"/>
    <w:rsid w:val="00AF41F7"/>
    <w:rsid w:val="00B004F1"/>
    <w:rsid w:val="00B228A7"/>
    <w:rsid w:val="00B360A6"/>
    <w:rsid w:val="00B438EC"/>
    <w:rsid w:val="00B640BA"/>
    <w:rsid w:val="00B71EF3"/>
    <w:rsid w:val="00B72624"/>
    <w:rsid w:val="00B830A1"/>
    <w:rsid w:val="00BB3964"/>
    <w:rsid w:val="00BB7F1E"/>
    <w:rsid w:val="00BC4054"/>
    <w:rsid w:val="00BC5886"/>
    <w:rsid w:val="00BD193E"/>
    <w:rsid w:val="00BE10A7"/>
    <w:rsid w:val="00C124F2"/>
    <w:rsid w:val="00C13825"/>
    <w:rsid w:val="00C57C25"/>
    <w:rsid w:val="00C60A2C"/>
    <w:rsid w:val="00C72CCC"/>
    <w:rsid w:val="00C81454"/>
    <w:rsid w:val="00C8259C"/>
    <w:rsid w:val="00C850D2"/>
    <w:rsid w:val="00C87159"/>
    <w:rsid w:val="00C95858"/>
    <w:rsid w:val="00CA4FE9"/>
    <w:rsid w:val="00CE6D5E"/>
    <w:rsid w:val="00CF7137"/>
    <w:rsid w:val="00D20559"/>
    <w:rsid w:val="00D30D5F"/>
    <w:rsid w:val="00D33D59"/>
    <w:rsid w:val="00D46878"/>
    <w:rsid w:val="00D51AC0"/>
    <w:rsid w:val="00D806B7"/>
    <w:rsid w:val="00D82678"/>
    <w:rsid w:val="00DA15D3"/>
    <w:rsid w:val="00DB136B"/>
    <w:rsid w:val="00DC4575"/>
    <w:rsid w:val="00DC73CF"/>
    <w:rsid w:val="00DD0CEB"/>
    <w:rsid w:val="00DE049B"/>
    <w:rsid w:val="00DF54E2"/>
    <w:rsid w:val="00E20675"/>
    <w:rsid w:val="00E34700"/>
    <w:rsid w:val="00E44C6A"/>
    <w:rsid w:val="00E55BB3"/>
    <w:rsid w:val="00E661BC"/>
    <w:rsid w:val="00E876D2"/>
    <w:rsid w:val="00EA195C"/>
    <w:rsid w:val="00EA5609"/>
    <w:rsid w:val="00EB2C32"/>
    <w:rsid w:val="00EB4D7C"/>
    <w:rsid w:val="00EB6265"/>
    <w:rsid w:val="00EC30C3"/>
    <w:rsid w:val="00EE1C9E"/>
    <w:rsid w:val="00EF3EA3"/>
    <w:rsid w:val="00EF4984"/>
    <w:rsid w:val="00F04D3A"/>
    <w:rsid w:val="00F10F53"/>
    <w:rsid w:val="00F164FA"/>
    <w:rsid w:val="00F20101"/>
    <w:rsid w:val="00F22092"/>
    <w:rsid w:val="00F46240"/>
    <w:rsid w:val="00F755CB"/>
    <w:rsid w:val="00F902F5"/>
    <w:rsid w:val="00F92BFC"/>
    <w:rsid w:val="00FB7B2B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03E0-3E66-40CD-BC25-A8DF870D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Fontepargpadro11">
    <w:name w:val="WW-Fonte parág. padrão11"/>
  </w:style>
  <w:style w:type="character" w:customStyle="1" w:styleId="WW-Absatz-Standardschriftart11111111">
    <w:name w:val="WW-Absatz-Standardschriftart11111111"/>
  </w:style>
  <w:style w:type="character" w:customStyle="1" w:styleId="WW-Fontepargpadro111">
    <w:name w:val="WW-Fonte parág. padrão111"/>
  </w:style>
  <w:style w:type="character" w:customStyle="1" w:styleId="WW-Fontepargpadro1111">
    <w:name w:val="WW-Fonte parág. padrão1111"/>
  </w:style>
  <w:style w:type="character" w:customStyle="1" w:styleId="WW8Num2z0">
    <w:name w:val="WW8Num2z0"/>
    <w:rPr>
      <w:rFonts w:ascii="Symbol" w:hAnsi="Symbol"/>
    </w:rPr>
  </w:style>
  <w:style w:type="character" w:customStyle="1" w:styleId="WW-Fontepargpadro11111">
    <w:name w:val="WW-Fonte parág. padrão11111"/>
  </w:style>
  <w:style w:type="character" w:styleId="Nmerodepgina">
    <w:name w:val="page number"/>
    <w:basedOn w:val="WW-Fontepargpadro11111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/>
      <w:sz w:val="28"/>
      <w:szCs w:val="28"/>
    </w:rPr>
  </w:style>
  <w:style w:type="paragraph" w:styleId="Corpodetexto">
    <w:name w:val="Body Text"/>
    <w:basedOn w:val="Normal"/>
    <w:semiHidden/>
    <w:rPr>
      <w:sz w:val="28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semiHidden/>
    <w:pPr>
      <w:ind w:firstLine="1701"/>
    </w:pPr>
    <w:rPr>
      <w:sz w:val="28"/>
    </w:rPr>
  </w:style>
  <w:style w:type="paragraph" w:styleId="Recuodecorpodetexto2">
    <w:name w:val="Body Text Indent 2"/>
    <w:basedOn w:val="Normal"/>
    <w:semiHidden/>
    <w:pPr>
      <w:ind w:firstLine="1701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pPr>
      <w:jc w:val="left"/>
    </w:pPr>
    <w:rPr>
      <w:sz w:val="28"/>
    </w:rPr>
  </w:style>
  <w:style w:type="character" w:customStyle="1" w:styleId="CabealhoChar">
    <w:name w:val="Cabeçalho Char"/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orpodetextoChar">
    <w:name w:val="Corpo de texto Char"/>
    <w:semiHidden/>
    <w:rPr>
      <w:rFonts w:ascii="Arial" w:hAnsi="Arial"/>
      <w:sz w:val="28"/>
      <w:lang w:eastAsia="ar-SA"/>
    </w:r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pt-BR"/>
    </w:rPr>
  </w:style>
  <w:style w:type="character" w:customStyle="1" w:styleId="RecuodecorpodetextoChar">
    <w:name w:val="Recuo de corpo de texto Char"/>
    <w:semiHidden/>
    <w:rPr>
      <w:rFonts w:ascii="Arial" w:hAnsi="Arial"/>
      <w:sz w:val="28"/>
      <w:lang w:eastAsia="ar-SA"/>
    </w:rPr>
  </w:style>
  <w:style w:type="character" w:customStyle="1" w:styleId="Ttulo2Char">
    <w:name w:val="Título 2 Char"/>
    <w:rPr>
      <w:rFonts w:ascii="Arial" w:hAnsi="Arial"/>
      <w:b/>
      <w:lang w:eastAsia="ar-SA"/>
    </w:rPr>
  </w:style>
  <w:style w:type="paragraph" w:styleId="Textodenotaderodap">
    <w:name w:val="footnote text"/>
    <w:basedOn w:val="Normal"/>
    <w:semiHidden/>
    <w:unhideWhenUsed/>
    <w:rPr>
      <w:sz w:val="20"/>
    </w:rPr>
  </w:style>
  <w:style w:type="character" w:customStyle="1" w:styleId="TextodenotaderodapChar">
    <w:name w:val="Texto de nota de rodapé Char"/>
    <w:semiHidden/>
    <w:rPr>
      <w:rFonts w:ascii="Arial" w:hAnsi="Arial"/>
      <w:lang w:eastAsia="ar-SA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RodapChar">
    <w:name w:val="Rodapé Char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Normal"/>
    <w:pPr>
      <w:suppressAutoHyphens w:val="0"/>
      <w:spacing w:before="100" w:beforeAutospacing="1" w:after="119"/>
      <w:jc w:val="left"/>
    </w:pPr>
    <w:rPr>
      <w:rFonts w:ascii="Times New Roman" w:hAnsi="Times New Roman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040D-4758-4CCF-BDC1-228C2C8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in005_99</vt:lpstr>
    </vt:vector>
  </TitlesOfParts>
  <Company>Tribunal de Contas do DF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in005_99</dc:title>
  <dc:subject/>
  <dc:creator>gilvando</dc:creator>
  <cp:keywords/>
  <cp:lastModifiedBy>Polyana Mota Resende</cp:lastModifiedBy>
  <cp:revision>3</cp:revision>
  <cp:lastPrinted>2020-03-17T20:46:00Z</cp:lastPrinted>
  <dcterms:created xsi:type="dcterms:W3CDTF">2020-03-17T21:44:00Z</dcterms:created>
  <dcterms:modified xsi:type="dcterms:W3CDTF">2020-03-17T21:51:00Z</dcterms:modified>
</cp:coreProperties>
</file>